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4A4AC40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3D1B8F">
        <w:rPr>
          <w:szCs w:val="24"/>
        </w:rPr>
        <w:t>9151</w:t>
      </w:r>
    </w:p>
    <w:p w14:paraId="500197F1" w14:textId="458826C7" w:rsidR="005D1E89" w:rsidRPr="00FD363A" w:rsidRDefault="008C4C8D" w:rsidP="005D1E89">
      <w:pPr>
        <w:pStyle w:val="3GPPHeader"/>
      </w:pPr>
      <w:bookmarkStart w:id="1" w:name="OLE_LINK3"/>
      <w:bookmarkStart w:id="2" w:name="OLE_LINK4"/>
      <w:r>
        <w:t>Ljubljana</w:t>
      </w:r>
      <w:r w:rsidR="005D1E89" w:rsidRPr="00FD363A">
        <w:t xml:space="preserve">, </w:t>
      </w:r>
      <w:r>
        <w:t>Slovenia</w:t>
      </w:r>
      <w:r w:rsidR="00526BF8" w:rsidRPr="00FD363A">
        <w:t xml:space="preserve">, </w:t>
      </w:r>
      <w:r w:rsidR="00C829BF">
        <w:t>26</w:t>
      </w:r>
      <w:r w:rsidR="00615DC1">
        <w:t xml:space="preserve"> </w:t>
      </w:r>
      <w:r w:rsidR="00526BF8" w:rsidRPr="00FD363A">
        <w:t xml:space="preserve">– </w:t>
      </w:r>
      <w:r w:rsidR="00C829BF">
        <w:t>30</w:t>
      </w:r>
      <w:r w:rsidR="005D1E89" w:rsidRPr="00FD363A">
        <w:t xml:space="preserve"> </w:t>
      </w:r>
      <w:r w:rsidR="00C829BF">
        <w:t>August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08802216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B21667">
        <w:rPr>
          <w:sz w:val="22"/>
        </w:rPr>
        <w:t>6.2.5</w:t>
      </w:r>
      <w:bookmarkStart w:id="3" w:name="_GoBack"/>
      <w:bookmarkEnd w:id="3"/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42158CF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E50740" w:rsidRPr="00E50740">
        <w:rPr>
          <w:sz w:val="22"/>
        </w:rPr>
        <w:t xml:space="preserve">Discussion on </w:t>
      </w:r>
      <w:r w:rsidR="00C71AC3">
        <w:rPr>
          <w:sz w:val="22"/>
        </w:rPr>
        <w:t>NB-IoT NPRACH demodulation performance for TDD</w:t>
      </w:r>
    </w:p>
    <w:p w14:paraId="385E2C9B" w14:textId="7AD27AC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F6016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F34A77E" w14:textId="6544438A" w:rsidR="00111663" w:rsidRDefault="00C71AC3" w:rsidP="009B01F8">
      <w:r>
        <w:t xml:space="preserve">Addressing the issue on the huge TDD NPRACH performance gap between companies, </w:t>
      </w:r>
      <w:r w:rsidR="009B01F8">
        <w:t>RAN</w:t>
      </w:r>
      <w:r>
        <w:t xml:space="preserve">4 agreed with the way forward </w:t>
      </w:r>
      <w:r w:rsidR="004B7861">
        <w:fldChar w:fldCharType="begin"/>
      </w:r>
      <w:r w:rsidR="004B7861">
        <w:instrText xml:space="preserve"> REF _Ref3386619 \r \h </w:instrText>
      </w:r>
      <w:r w:rsidR="004B7861">
        <w:fldChar w:fldCharType="separate"/>
      </w:r>
      <w:r w:rsidR="004B7861">
        <w:t>[1]</w:t>
      </w:r>
      <w:r w:rsidR="004B7861">
        <w:fldChar w:fldCharType="end"/>
      </w:r>
      <w:r>
        <w:t>, where it ask</w:t>
      </w:r>
      <w:r w:rsidR="00050919">
        <w:t>s</w:t>
      </w:r>
      <w:r>
        <w:t xml:space="preserve"> the interested companies to </w:t>
      </w:r>
      <w:r w:rsidRPr="00C71AC3">
        <w:t>provide the simulation results in RAN4#92 to identify the reason of performance gap</w:t>
      </w:r>
      <w:r>
        <w:t xml:space="preserve">. In this contribution we provide </w:t>
      </w:r>
      <w:r w:rsidR="0056666A">
        <w:t>our</w:t>
      </w:r>
      <w:r>
        <w:t xml:space="preserve"> ideal simulation results and discuss the way forward. </w:t>
      </w:r>
    </w:p>
    <w:p w14:paraId="63B30870" w14:textId="0BB61E32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604EA5BC" w14:textId="78E41989" w:rsidR="009658A3" w:rsidRDefault="00C71AC3" w:rsidP="00C71AC3">
      <w:pPr>
        <w:pStyle w:val="Heading2"/>
      </w:pPr>
      <w:r>
        <w:t>2.1</w:t>
      </w:r>
      <w:r>
        <w:tab/>
        <w:t>Simulation results</w:t>
      </w:r>
    </w:p>
    <w:p w14:paraId="61B4A79C" w14:textId="5B62ED8B" w:rsidR="00AA33C5" w:rsidRDefault="00AA33C5" w:rsidP="00AA33C5">
      <w:r>
        <w:rPr>
          <w:lang w:val="en-GB"/>
        </w:rPr>
        <w:fldChar w:fldCharType="begin"/>
      </w:r>
      <w:r>
        <w:rPr>
          <w:lang w:val="en-GB"/>
        </w:rPr>
        <w:instrText xml:space="preserve"> REF _Ref14797782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parameters for evaluation, and it is </w:t>
      </w:r>
      <w:r w:rsidR="00CB144F">
        <w:rPr>
          <w:lang w:val="en-GB"/>
        </w:rPr>
        <w:t xml:space="preserve">the </w:t>
      </w:r>
      <w:r>
        <w:rPr>
          <w:lang w:val="en-GB"/>
        </w:rPr>
        <w:t xml:space="preserve">same parameter set agreed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_Ref3386619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C54D22">
        <w:rPr>
          <w:lang w:val="en-GB"/>
        </w:rPr>
        <w:fldChar w:fldCharType="begin"/>
      </w:r>
      <w:r w:rsidR="00C54D22">
        <w:rPr>
          <w:lang w:val="en-GB"/>
        </w:rPr>
        <w:instrText xml:space="preserve"> REF _Ref14856305 \h </w:instrText>
      </w:r>
      <w:r w:rsidR="00C54D22">
        <w:rPr>
          <w:lang w:val="en-GB"/>
        </w:rPr>
      </w:r>
      <w:r w:rsidR="00C54D22">
        <w:rPr>
          <w:lang w:val="en-GB"/>
        </w:rPr>
        <w:fldChar w:fldCharType="separate"/>
      </w:r>
      <w:r w:rsidR="00C54D22">
        <w:t xml:space="preserve">Figure </w:t>
      </w:r>
      <w:r w:rsidR="00C54D22">
        <w:rPr>
          <w:noProof/>
        </w:rPr>
        <w:t>1</w:t>
      </w:r>
      <w:r w:rsidR="00C54D22">
        <w:rPr>
          <w:lang w:val="en-GB"/>
        </w:rPr>
        <w:fldChar w:fldCharType="end"/>
      </w:r>
      <w:r w:rsidR="00C54D22">
        <w:rPr>
          <w:lang w:val="en-GB"/>
        </w:rPr>
        <w:t xml:space="preserve"> shows </w:t>
      </w:r>
      <w:r w:rsidR="001E3A17">
        <w:rPr>
          <w:lang w:val="en-GB"/>
        </w:rPr>
        <w:t xml:space="preserve">our ideal simulation results of </w:t>
      </w:r>
      <w:r w:rsidR="00C54D22">
        <w:rPr>
          <w:lang w:val="en-GB"/>
        </w:rPr>
        <w:t xml:space="preserve">the missed detection rate (MDR) of NPRACH TDD format 0 with false alarm rate &lt; 0.1%. It is observed from our simulation that </w:t>
      </w:r>
      <w:r w:rsidR="00C54D22">
        <w:t>the required SNR to achieve MDR of 1% about 11.0dB.</w:t>
      </w:r>
    </w:p>
    <w:p w14:paraId="7D3FC982" w14:textId="7482BA93" w:rsidR="004400A7" w:rsidRDefault="004400A7" w:rsidP="00AA33C5">
      <w:pPr>
        <w:rPr>
          <w:b/>
        </w:rPr>
      </w:pPr>
      <w:r w:rsidRPr="00E8444E">
        <w:rPr>
          <w:b/>
          <w:lang w:val="en-GB"/>
        </w:rPr>
        <w:t xml:space="preserve">Observation: For NPRACH TDD Format 0, the </w:t>
      </w:r>
      <w:r w:rsidRPr="00E8444E">
        <w:rPr>
          <w:b/>
        </w:rPr>
        <w:t>required SNR to achieve MDR of 1% about 11.0dB without repetition under static environment.</w:t>
      </w:r>
    </w:p>
    <w:p w14:paraId="563CA033" w14:textId="77777777" w:rsidR="003C3D36" w:rsidRPr="00C54D22" w:rsidRDefault="003C3D36" w:rsidP="00AA33C5"/>
    <w:p w14:paraId="5AAD01C0" w14:textId="0548EBA5" w:rsidR="00122734" w:rsidRPr="00122734" w:rsidRDefault="00A45B2C" w:rsidP="00A45B2C">
      <w:pPr>
        <w:pStyle w:val="Caption"/>
        <w:rPr>
          <w:lang w:val="en-GB"/>
        </w:rPr>
      </w:pPr>
      <w:bookmarkStart w:id="4" w:name="_Ref14797782"/>
      <w:r>
        <w:t xml:space="preserve">Table </w:t>
      </w:r>
      <w:fldSimple w:instr=" SEQ Table \* ARABIC ">
        <w:r w:rsidR="00F50C07">
          <w:rPr>
            <w:noProof/>
          </w:rPr>
          <w:t>1</w:t>
        </w:r>
      </w:fldSimple>
      <w:bookmarkEnd w:id="4"/>
      <w:r>
        <w:tab/>
        <w:t xml:space="preserve">TDD NPRACH simulation parameters. 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3505"/>
        <w:gridCol w:w="6124"/>
      </w:tblGrid>
      <w:tr w:rsidR="00122734" w:rsidRPr="00122734" w14:paraId="1A3A6FA1" w14:textId="77777777" w:rsidTr="00122734">
        <w:trPr>
          <w:trHeight w:val="259"/>
        </w:trPr>
        <w:tc>
          <w:tcPr>
            <w:tcW w:w="3505" w:type="dxa"/>
            <w:hideMark/>
          </w:tcPr>
          <w:p w14:paraId="6530C619" w14:textId="77777777" w:rsidR="00122734" w:rsidRPr="00122734" w:rsidRDefault="00122734" w:rsidP="00122734">
            <w:pPr>
              <w:spacing w:after="0"/>
            </w:pPr>
            <w:r w:rsidRPr="00122734">
              <w:rPr>
                <w:b/>
                <w:bCs/>
              </w:rPr>
              <w:t>Parameters</w:t>
            </w:r>
          </w:p>
        </w:tc>
        <w:tc>
          <w:tcPr>
            <w:tcW w:w="6124" w:type="dxa"/>
            <w:hideMark/>
          </w:tcPr>
          <w:p w14:paraId="1B2CA173" w14:textId="77777777" w:rsidR="00122734" w:rsidRPr="00122734" w:rsidRDefault="00122734" w:rsidP="00122734">
            <w:pPr>
              <w:spacing w:after="0"/>
            </w:pPr>
            <w:r w:rsidRPr="00122734">
              <w:rPr>
                <w:b/>
                <w:bCs/>
              </w:rPr>
              <w:t>Values</w:t>
            </w:r>
          </w:p>
        </w:tc>
      </w:tr>
      <w:tr w:rsidR="00122734" w:rsidRPr="00122734" w14:paraId="536F29F7" w14:textId="77777777" w:rsidTr="00122734">
        <w:trPr>
          <w:trHeight w:val="259"/>
        </w:trPr>
        <w:tc>
          <w:tcPr>
            <w:tcW w:w="3505" w:type="dxa"/>
            <w:hideMark/>
          </w:tcPr>
          <w:p w14:paraId="38D6E25E" w14:textId="77777777" w:rsidR="00122734" w:rsidRPr="00122734" w:rsidRDefault="00122734" w:rsidP="00122734">
            <w:pPr>
              <w:spacing w:after="0"/>
            </w:pPr>
            <w:r w:rsidRPr="00122734">
              <w:rPr>
                <w:bCs/>
              </w:rPr>
              <w:t>Preamble formats</w:t>
            </w:r>
          </w:p>
        </w:tc>
        <w:tc>
          <w:tcPr>
            <w:tcW w:w="6124" w:type="dxa"/>
            <w:hideMark/>
          </w:tcPr>
          <w:p w14:paraId="26B6F203" w14:textId="77777777" w:rsidR="00122734" w:rsidRPr="00122734" w:rsidRDefault="00122734" w:rsidP="00122734">
            <w:pPr>
              <w:spacing w:after="0"/>
            </w:pPr>
            <w:r w:rsidRPr="00122734">
              <w:rPr>
                <w:bCs/>
              </w:rPr>
              <w:t>TDD NPRACH format 0</w:t>
            </w:r>
          </w:p>
        </w:tc>
      </w:tr>
      <w:tr w:rsidR="00122734" w:rsidRPr="00122734" w14:paraId="0DDB0B2C" w14:textId="77777777" w:rsidTr="00122734">
        <w:trPr>
          <w:trHeight w:val="259"/>
        </w:trPr>
        <w:tc>
          <w:tcPr>
            <w:tcW w:w="3505" w:type="dxa"/>
            <w:hideMark/>
          </w:tcPr>
          <w:p w14:paraId="6AA9D081" w14:textId="77777777" w:rsidR="00122734" w:rsidRPr="00122734" w:rsidRDefault="00122734" w:rsidP="00122734">
            <w:pPr>
              <w:spacing w:after="0"/>
            </w:pPr>
            <w:r w:rsidRPr="00122734">
              <w:t>Cell ID</w:t>
            </w:r>
          </w:p>
        </w:tc>
        <w:tc>
          <w:tcPr>
            <w:tcW w:w="6124" w:type="dxa"/>
            <w:hideMark/>
          </w:tcPr>
          <w:p w14:paraId="0FB0D4A9" w14:textId="77777777" w:rsidR="00122734" w:rsidRPr="00122734" w:rsidRDefault="00122734" w:rsidP="00122734">
            <w:pPr>
              <w:spacing w:after="0"/>
            </w:pPr>
            <w:r w:rsidRPr="00122734">
              <w:t>0</w:t>
            </w:r>
          </w:p>
        </w:tc>
      </w:tr>
      <w:tr w:rsidR="00122734" w:rsidRPr="00122734" w14:paraId="32F0EAC5" w14:textId="77777777" w:rsidTr="00122734">
        <w:trPr>
          <w:trHeight w:val="259"/>
        </w:trPr>
        <w:tc>
          <w:tcPr>
            <w:tcW w:w="3505" w:type="dxa"/>
            <w:hideMark/>
          </w:tcPr>
          <w:p w14:paraId="27485E2B" w14:textId="77777777" w:rsidR="00122734" w:rsidRPr="00122734" w:rsidRDefault="00122734" w:rsidP="00122734">
            <w:pPr>
              <w:spacing w:after="0"/>
            </w:pPr>
            <w:r w:rsidRPr="00122734">
              <w:t>NPRACH signature</w:t>
            </w:r>
          </w:p>
        </w:tc>
        <w:tc>
          <w:tcPr>
            <w:tcW w:w="6124" w:type="dxa"/>
            <w:hideMark/>
          </w:tcPr>
          <w:p w14:paraId="1E516087" w14:textId="77777777" w:rsidR="00122734" w:rsidRPr="00122734" w:rsidRDefault="00122734" w:rsidP="00122734">
            <w:pPr>
              <w:spacing w:after="0"/>
            </w:pPr>
            <w:r w:rsidRPr="00122734">
              <w:t>0</w:t>
            </w:r>
          </w:p>
        </w:tc>
      </w:tr>
      <w:tr w:rsidR="00122734" w:rsidRPr="00122734" w14:paraId="453A48A4" w14:textId="77777777" w:rsidTr="00122734">
        <w:trPr>
          <w:trHeight w:val="259"/>
        </w:trPr>
        <w:tc>
          <w:tcPr>
            <w:tcW w:w="3505" w:type="dxa"/>
            <w:hideMark/>
          </w:tcPr>
          <w:p w14:paraId="5F6B453B" w14:textId="77777777" w:rsidR="00122734" w:rsidRPr="00122734" w:rsidRDefault="00122734" w:rsidP="00122734">
            <w:pPr>
              <w:spacing w:after="0"/>
            </w:pPr>
            <w:r w:rsidRPr="00122734">
              <w:t>Uplink-downlink configuration</w:t>
            </w:r>
          </w:p>
        </w:tc>
        <w:tc>
          <w:tcPr>
            <w:tcW w:w="6124" w:type="dxa"/>
            <w:hideMark/>
          </w:tcPr>
          <w:p w14:paraId="314BD515" w14:textId="77777777" w:rsidR="00122734" w:rsidRPr="00122734" w:rsidRDefault="00122734" w:rsidP="00122734">
            <w:pPr>
              <w:spacing w:after="0"/>
            </w:pPr>
            <w:r w:rsidRPr="00122734">
              <w:t>1</w:t>
            </w:r>
          </w:p>
        </w:tc>
      </w:tr>
      <w:tr w:rsidR="00122734" w:rsidRPr="00122734" w14:paraId="55CB3D77" w14:textId="77777777" w:rsidTr="00122734">
        <w:trPr>
          <w:trHeight w:val="259"/>
        </w:trPr>
        <w:tc>
          <w:tcPr>
            <w:tcW w:w="3505" w:type="dxa"/>
            <w:hideMark/>
          </w:tcPr>
          <w:p w14:paraId="68019664" w14:textId="77777777" w:rsidR="00122734" w:rsidRPr="00122734" w:rsidRDefault="00122734" w:rsidP="00122734">
            <w:pPr>
              <w:spacing w:after="0"/>
            </w:pPr>
            <w:r w:rsidRPr="00122734">
              <w:t>Special subframe configuration</w:t>
            </w:r>
          </w:p>
        </w:tc>
        <w:tc>
          <w:tcPr>
            <w:tcW w:w="6124" w:type="dxa"/>
            <w:hideMark/>
          </w:tcPr>
          <w:p w14:paraId="1FF359DD" w14:textId="77777777" w:rsidR="00122734" w:rsidRPr="00122734" w:rsidRDefault="00122734" w:rsidP="00122734">
            <w:pPr>
              <w:spacing w:after="0"/>
            </w:pPr>
            <w:r w:rsidRPr="00122734">
              <w:t>7</w:t>
            </w:r>
          </w:p>
        </w:tc>
      </w:tr>
      <w:tr w:rsidR="00122734" w:rsidRPr="00122734" w14:paraId="55AFFAB1" w14:textId="77777777" w:rsidTr="00122734">
        <w:trPr>
          <w:trHeight w:val="259"/>
        </w:trPr>
        <w:tc>
          <w:tcPr>
            <w:tcW w:w="3505" w:type="dxa"/>
            <w:hideMark/>
          </w:tcPr>
          <w:p w14:paraId="409E4C35" w14:textId="77777777" w:rsidR="00122734" w:rsidRPr="00122734" w:rsidRDefault="00122734" w:rsidP="00122734">
            <w:pPr>
              <w:spacing w:after="0"/>
            </w:pPr>
            <w:r w:rsidRPr="00122734">
              <w:rPr>
                <w:bCs/>
              </w:rPr>
              <w:t>Number of Tx antennas</w:t>
            </w:r>
          </w:p>
        </w:tc>
        <w:tc>
          <w:tcPr>
            <w:tcW w:w="6124" w:type="dxa"/>
            <w:hideMark/>
          </w:tcPr>
          <w:p w14:paraId="13DE6406" w14:textId="77777777" w:rsidR="00122734" w:rsidRPr="00122734" w:rsidRDefault="00122734" w:rsidP="00122734">
            <w:pPr>
              <w:spacing w:after="0"/>
            </w:pPr>
            <w:r w:rsidRPr="00122734">
              <w:rPr>
                <w:bCs/>
              </w:rPr>
              <w:t>1</w:t>
            </w:r>
          </w:p>
        </w:tc>
      </w:tr>
      <w:tr w:rsidR="00122734" w:rsidRPr="00122734" w14:paraId="739EA329" w14:textId="77777777" w:rsidTr="00122734">
        <w:trPr>
          <w:trHeight w:val="259"/>
        </w:trPr>
        <w:tc>
          <w:tcPr>
            <w:tcW w:w="3505" w:type="dxa"/>
            <w:hideMark/>
          </w:tcPr>
          <w:p w14:paraId="5B314133" w14:textId="77777777" w:rsidR="00122734" w:rsidRPr="00122734" w:rsidRDefault="00122734" w:rsidP="00122734">
            <w:pPr>
              <w:spacing w:after="0"/>
            </w:pPr>
            <w:r w:rsidRPr="00122734">
              <w:t xml:space="preserve">Number of Rx antennas </w:t>
            </w:r>
          </w:p>
        </w:tc>
        <w:tc>
          <w:tcPr>
            <w:tcW w:w="6124" w:type="dxa"/>
            <w:hideMark/>
          </w:tcPr>
          <w:p w14:paraId="0B9F26C2" w14:textId="77777777" w:rsidR="00122734" w:rsidRPr="00122734" w:rsidRDefault="00122734" w:rsidP="00122734">
            <w:pPr>
              <w:spacing w:after="0"/>
            </w:pPr>
            <w:r w:rsidRPr="00122734">
              <w:t>2</w:t>
            </w:r>
          </w:p>
        </w:tc>
      </w:tr>
      <w:tr w:rsidR="00122734" w:rsidRPr="00122734" w14:paraId="7B7F3865" w14:textId="77777777" w:rsidTr="00122734">
        <w:trPr>
          <w:trHeight w:val="259"/>
        </w:trPr>
        <w:tc>
          <w:tcPr>
            <w:tcW w:w="3505" w:type="dxa"/>
            <w:hideMark/>
          </w:tcPr>
          <w:p w14:paraId="27E64F10" w14:textId="77777777" w:rsidR="00122734" w:rsidRPr="00122734" w:rsidRDefault="00122734" w:rsidP="00122734">
            <w:pPr>
              <w:spacing w:after="0"/>
            </w:pPr>
            <w:r w:rsidRPr="00122734">
              <w:t>Propagation condition</w:t>
            </w:r>
          </w:p>
        </w:tc>
        <w:tc>
          <w:tcPr>
            <w:tcW w:w="6124" w:type="dxa"/>
            <w:hideMark/>
          </w:tcPr>
          <w:p w14:paraId="4973D355" w14:textId="77777777" w:rsidR="00122734" w:rsidRPr="00122734" w:rsidRDefault="00122734" w:rsidP="00122734">
            <w:pPr>
              <w:spacing w:after="0"/>
            </w:pPr>
            <w:r w:rsidRPr="00122734">
              <w:t>AWGN</w:t>
            </w:r>
          </w:p>
        </w:tc>
      </w:tr>
      <w:tr w:rsidR="00122734" w:rsidRPr="00122734" w14:paraId="3C61D1AB" w14:textId="77777777" w:rsidTr="00122734">
        <w:trPr>
          <w:trHeight w:val="259"/>
        </w:trPr>
        <w:tc>
          <w:tcPr>
            <w:tcW w:w="3505" w:type="dxa"/>
            <w:hideMark/>
          </w:tcPr>
          <w:p w14:paraId="5AA376B2" w14:textId="77777777" w:rsidR="00122734" w:rsidRPr="00122734" w:rsidRDefault="00122734" w:rsidP="00122734">
            <w:pPr>
              <w:spacing w:after="0"/>
            </w:pPr>
            <w:r w:rsidRPr="00122734">
              <w:t>Repetition number</w:t>
            </w:r>
          </w:p>
        </w:tc>
        <w:tc>
          <w:tcPr>
            <w:tcW w:w="6124" w:type="dxa"/>
            <w:hideMark/>
          </w:tcPr>
          <w:p w14:paraId="4C0D7C2E" w14:textId="77777777" w:rsidR="00122734" w:rsidRPr="00122734" w:rsidRDefault="00122734" w:rsidP="00122734">
            <w:pPr>
              <w:spacing w:after="0"/>
            </w:pPr>
            <w:r w:rsidRPr="00122734">
              <w:t>1</w:t>
            </w:r>
          </w:p>
        </w:tc>
      </w:tr>
      <w:tr w:rsidR="00122734" w:rsidRPr="00122734" w14:paraId="31DD1B9E" w14:textId="77777777" w:rsidTr="00122734">
        <w:trPr>
          <w:trHeight w:val="259"/>
        </w:trPr>
        <w:tc>
          <w:tcPr>
            <w:tcW w:w="3505" w:type="dxa"/>
            <w:hideMark/>
          </w:tcPr>
          <w:p w14:paraId="0FB5689D" w14:textId="77777777" w:rsidR="00122734" w:rsidRPr="00122734" w:rsidRDefault="00122734" w:rsidP="00122734">
            <w:pPr>
              <w:spacing w:after="0"/>
            </w:pPr>
            <w:r w:rsidRPr="00122734">
              <w:t>Frequency offset</w:t>
            </w:r>
          </w:p>
        </w:tc>
        <w:tc>
          <w:tcPr>
            <w:tcW w:w="6124" w:type="dxa"/>
            <w:hideMark/>
          </w:tcPr>
          <w:p w14:paraId="3D7AFA32" w14:textId="77777777" w:rsidR="00122734" w:rsidRPr="00122734" w:rsidRDefault="00122734" w:rsidP="00122734">
            <w:pPr>
              <w:spacing w:after="0"/>
            </w:pPr>
            <w:r w:rsidRPr="00122734">
              <w:t>0 Hz</w:t>
            </w:r>
          </w:p>
        </w:tc>
      </w:tr>
      <w:tr w:rsidR="00122734" w:rsidRPr="00122734" w14:paraId="31C879AB" w14:textId="77777777" w:rsidTr="00122734">
        <w:trPr>
          <w:trHeight w:val="259"/>
        </w:trPr>
        <w:tc>
          <w:tcPr>
            <w:tcW w:w="3505" w:type="dxa"/>
            <w:hideMark/>
          </w:tcPr>
          <w:p w14:paraId="0A7952DF" w14:textId="77777777" w:rsidR="00122734" w:rsidRPr="00122734" w:rsidRDefault="00122734" w:rsidP="00122734">
            <w:pPr>
              <w:spacing w:after="0"/>
            </w:pPr>
            <w:r w:rsidRPr="00122734">
              <w:t>Frequency hopping</w:t>
            </w:r>
          </w:p>
        </w:tc>
        <w:tc>
          <w:tcPr>
            <w:tcW w:w="6124" w:type="dxa"/>
            <w:hideMark/>
          </w:tcPr>
          <w:p w14:paraId="6B6CD9A6" w14:textId="75BE6EED" w:rsidR="00122734" w:rsidRPr="00AA33C5" w:rsidRDefault="00122734" w:rsidP="00122734">
            <w:pPr>
              <w:spacing w:after="0"/>
              <w:rPr>
                <w:b/>
              </w:rPr>
            </w:pPr>
            <w:r w:rsidRPr="00AA33C5">
              <w:rPr>
                <w:b/>
              </w:rPr>
              <w:t>1. Enabled</w:t>
            </w:r>
          </w:p>
          <w:p w14:paraId="49E6AEB0" w14:textId="02007182" w:rsidR="00122734" w:rsidRPr="00122734" w:rsidRDefault="00122734" w:rsidP="00122734">
            <w:pPr>
              <w:spacing w:after="0"/>
            </w:pPr>
            <w:r>
              <w:t xml:space="preserve">2. </w:t>
            </w:r>
            <w:r w:rsidRPr="00122734">
              <w:t>Disabled (Optional)</w:t>
            </w:r>
          </w:p>
        </w:tc>
      </w:tr>
      <w:tr w:rsidR="00122734" w:rsidRPr="00122734" w14:paraId="0EC93D55" w14:textId="77777777" w:rsidTr="00122734">
        <w:trPr>
          <w:trHeight w:val="648"/>
        </w:trPr>
        <w:tc>
          <w:tcPr>
            <w:tcW w:w="3505" w:type="dxa"/>
            <w:hideMark/>
          </w:tcPr>
          <w:p w14:paraId="72F065E4" w14:textId="77777777" w:rsidR="00122734" w:rsidRPr="00122734" w:rsidRDefault="00122734" w:rsidP="00122734">
            <w:pPr>
              <w:spacing w:after="0"/>
            </w:pPr>
            <w:r w:rsidRPr="00122734">
              <w:lastRenderedPageBreak/>
              <w:t>Detection performance</w:t>
            </w:r>
          </w:p>
        </w:tc>
        <w:tc>
          <w:tcPr>
            <w:tcW w:w="6124" w:type="dxa"/>
            <w:hideMark/>
          </w:tcPr>
          <w:p w14:paraId="0B81D4B1" w14:textId="77777777" w:rsidR="00122734" w:rsidRPr="00122734" w:rsidRDefault="00122734" w:rsidP="00122734">
            <w:pPr>
              <w:spacing w:after="0"/>
            </w:pPr>
            <w:r w:rsidRPr="00122734">
              <w:t>SNR to achieve 1) missed detection probability of 1%, 2) false alarm rate of 0.1%, and 3) timing error probability with limits of 3.646us at the same time</w:t>
            </w:r>
          </w:p>
        </w:tc>
      </w:tr>
    </w:tbl>
    <w:p w14:paraId="43F05175" w14:textId="22C95287" w:rsidR="00C71AC3" w:rsidRDefault="00C71AC3" w:rsidP="00C71AC3"/>
    <w:p w14:paraId="206FB79F" w14:textId="4F3C3AF7" w:rsidR="00AA33C5" w:rsidRDefault="00533576" w:rsidP="00C71AC3">
      <w:r w:rsidRPr="00533576">
        <w:rPr>
          <w:noProof/>
        </w:rPr>
        <w:drawing>
          <wp:inline distT="0" distB="0" distL="0" distR="0" wp14:anchorId="6BF7D31B" wp14:editId="1F64CD56">
            <wp:extent cx="3803904" cy="2852928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25E80" w14:textId="585124F1" w:rsidR="007A383F" w:rsidRDefault="007A383F" w:rsidP="007A383F">
      <w:pPr>
        <w:pStyle w:val="Caption"/>
      </w:pPr>
      <w:bookmarkStart w:id="5" w:name="_Ref14856305"/>
      <w:r>
        <w:t xml:space="preserve">Figure </w:t>
      </w:r>
      <w:r w:rsidR="003D1B8F">
        <w:fldChar w:fldCharType="begin"/>
      </w:r>
      <w:r w:rsidR="003D1B8F">
        <w:instrText xml:space="preserve"> SEQ Figure \* ARABIC </w:instrText>
      </w:r>
      <w:r w:rsidR="003D1B8F">
        <w:fldChar w:fldCharType="separate"/>
      </w:r>
      <w:r w:rsidR="005538CD">
        <w:rPr>
          <w:noProof/>
        </w:rPr>
        <w:t>1</w:t>
      </w:r>
      <w:r w:rsidR="003D1B8F">
        <w:rPr>
          <w:noProof/>
        </w:rPr>
        <w:fldChar w:fldCharType="end"/>
      </w:r>
      <w:bookmarkEnd w:id="5"/>
      <w:r>
        <w:tab/>
        <w:t>Missed detection probability simulation result of NPRACH TDD format 0 with false alarm rate of 0.1%.</w:t>
      </w:r>
    </w:p>
    <w:p w14:paraId="5F06B579" w14:textId="53757876" w:rsidR="00C71AC3" w:rsidRDefault="00C71AC3" w:rsidP="00C71AC3">
      <w:pPr>
        <w:pStyle w:val="Heading2"/>
      </w:pPr>
      <w:r>
        <w:t>2.2</w:t>
      </w:r>
      <w:r>
        <w:tab/>
      </w:r>
      <w:r w:rsidR="000D33C2">
        <w:t>Discussion</w:t>
      </w:r>
    </w:p>
    <w:p w14:paraId="7486C911" w14:textId="7B90401A" w:rsidR="000D33C2" w:rsidRDefault="000D33C2" w:rsidP="000D33C2">
      <w:pPr>
        <w:rPr>
          <w:lang w:val="en-GB"/>
        </w:rPr>
      </w:pPr>
      <w:r>
        <w:rPr>
          <w:lang w:val="en-GB"/>
        </w:rPr>
        <w:t>In Rel-13 RAN4 introduced NPRACH missed detection requirements for FDD format 0</w:t>
      </w:r>
      <w:r w:rsidR="00950102">
        <w:rPr>
          <w:lang w:val="en-GB"/>
        </w:rPr>
        <w:t>/1</w:t>
      </w:r>
      <w:r>
        <w:rPr>
          <w:lang w:val="en-GB"/>
        </w:rPr>
        <w:t xml:space="preserve">. </w:t>
      </w:r>
      <w:r w:rsidR="008C4D72">
        <w:rPr>
          <w:lang w:val="en-GB"/>
        </w:rPr>
        <w:t>Although</w:t>
      </w:r>
      <w:r w:rsidR="00912911">
        <w:rPr>
          <w:lang w:val="en-GB"/>
        </w:rPr>
        <w:t xml:space="preserve"> </w:t>
      </w:r>
      <w:r w:rsidR="008C4D72">
        <w:rPr>
          <w:lang w:val="en-GB"/>
        </w:rPr>
        <w:t xml:space="preserve">FDD format 0 </w:t>
      </w:r>
      <w:r w:rsidR="00912911">
        <w:rPr>
          <w:lang w:val="en-GB"/>
        </w:rPr>
        <w:t xml:space="preserve">is different format from TDD format 0, </w:t>
      </w:r>
      <w:r w:rsidR="00F57FE5">
        <w:rPr>
          <w:lang w:val="en-GB"/>
        </w:rPr>
        <w:t xml:space="preserve">we can refer to the results to </w:t>
      </w:r>
      <w:r w:rsidR="00293082">
        <w:rPr>
          <w:lang w:val="en-GB"/>
        </w:rPr>
        <w:t>estimate</w:t>
      </w:r>
      <w:r w:rsidR="00912911">
        <w:rPr>
          <w:lang w:val="en-GB"/>
        </w:rPr>
        <w:t xml:space="preserve"> the achievable SNR levels</w:t>
      </w:r>
      <w:r w:rsidR="008C4D72">
        <w:rPr>
          <w:lang w:val="en-GB"/>
        </w:rPr>
        <w:t xml:space="preserve"> </w:t>
      </w:r>
      <w:r w:rsidR="00C2227A">
        <w:rPr>
          <w:lang w:val="en-GB"/>
        </w:rPr>
        <w:t>with MDR=1%.</w:t>
      </w:r>
    </w:p>
    <w:p w14:paraId="6C181C68" w14:textId="77777777" w:rsidR="00BD7916" w:rsidRDefault="00CF202D" w:rsidP="000D33C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_Ref14856618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_Ref14856620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 w:rsidR="00F22537">
        <w:rPr>
          <w:lang w:val="en-GB"/>
        </w:rPr>
        <w:t xml:space="preserve"> </w:t>
      </w:r>
      <w:r w:rsidR="008A6F80">
        <w:rPr>
          <w:lang w:val="en-GB"/>
        </w:rPr>
        <w:t>compare</w:t>
      </w:r>
      <w:r w:rsidR="00F22537">
        <w:rPr>
          <w:lang w:val="en-GB"/>
        </w:rPr>
        <w:t xml:space="preserve"> </w:t>
      </w:r>
      <w:r w:rsidR="00AB1C2A">
        <w:rPr>
          <w:lang w:val="en-GB"/>
        </w:rPr>
        <w:t xml:space="preserve">the NPRACH preamble formats 0 for FDD and </w:t>
      </w:r>
      <w:r w:rsidR="00773BBB">
        <w:rPr>
          <w:lang w:val="en-GB"/>
        </w:rPr>
        <w:t xml:space="preserve">format 0 </w:t>
      </w:r>
      <w:r w:rsidR="00AB1C2A">
        <w:rPr>
          <w:lang w:val="en-GB"/>
        </w:rPr>
        <w:t xml:space="preserve">for TDD. </w:t>
      </w:r>
      <w:r w:rsidR="0063344E">
        <w:rPr>
          <w:lang w:val="en-GB"/>
        </w:rPr>
        <w:t>It is important to note that t</w:t>
      </w:r>
      <w:r w:rsidR="00E07E01">
        <w:rPr>
          <w:lang w:val="en-GB"/>
        </w:rPr>
        <w:t>he preamble sequence length is 8192T</w:t>
      </w:r>
      <w:r w:rsidR="0083433F">
        <w:rPr>
          <w:lang w:val="en-GB"/>
        </w:rPr>
        <w:t>s</w:t>
      </w:r>
      <w:r w:rsidR="00E07E01">
        <w:rPr>
          <w:lang w:val="en-GB"/>
        </w:rPr>
        <w:t xml:space="preserve"> for both formats</w:t>
      </w:r>
      <w:r w:rsidR="0063344E">
        <w:rPr>
          <w:lang w:val="en-GB"/>
        </w:rPr>
        <w:t xml:space="preserve">, which means </w:t>
      </w:r>
      <w:r w:rsidR="00BD7916">
        <w:rPr>
          <w:lang w:val="en-GB"/>
        </w:rPr>
        <w:t>the difference between FDD format 0 and TDD format 0 is the CP length and the number of repetitions.</w:t>
      </w:r>
      <w:r w:rsidR="00D30171">
        <w:rPr>
          <w:lang w:val="en-GB"/>
        </w:rPr>
        <w:t xml:space="preserve"> </w:t>
      </w:r>
    </w:p>
    <w:p w14:paraId="2FB6E2FC" w14:textId="061B89E9" w:rsidR="001F6397" w:rsidRDefault="00D30171" w:rsidP="000D33C2">
      <w:pPr>
        <w:rPr>
          <w:lang w:val="en-GB"/>
        </w:rPr>
      </w:pPr>
      <w:r>
        <w:rPr>
          <w:lang w:val="en-GB"/>
        </w:rPr>
        <w:t xml:space="preserve">Without </w:t>
      </w:r>
      <w:r w:rsidR="00BB4A9F">
        <w:rPr>
          <w:lang w:val="en-GB"/>
        </w:rPr>
        <w:t xml:space="preserve">the </w:t>
      </w:r>
      <w:r w:rsidR="007C74AC">
        <w:rPr>
          <w:lang w:val="en-GB"/>
        </w:rPr>
        <w:t xml:space="preserve">cyclic prefix, the FDD format 0 </w:t>
      </w:r>
      <w:r w:rsidR="00191030">
        <w:rPr>
          <w:lang w:val="en-GB"/>
        </w:rPr>
        <w:t>repeats</w:t>
      </w:r>
      <w:r w:rsidR="007C74AC">
        <w:rPr>
          <w:lang w:val="en-GB"/>
        </w:rPr>
        <w:t xml:space="preserve"> the same sequence 20 times but TDD format 0 </w:t>
      </w:r>
      <w:r w:rsidR="00191030">
        <w:rPr>
          <w:lang w:val="en-GB"/>
        </w:rPr>
        <w:t>repeat</w:t>
      </w:r>
      <w:r w:rsidR="007C74AC">
        <w:rPr>
          <w:lang w:val="en-GB"/>
        </w:rPr>
        <w:t xml:space="preserve">s the same sequence 4 times. </w:t>
      </w:r>
      <w:r w:rsidR="00D2781B">
        <w:rPr>
          <w:lang w:val="en-GB"/>
        </w:rPr>
        <w:t xml:space="preserve">Since </w:t>
      </w:r>
      <w:r w:rsidR="00191030">
        <w:rPr>
          <w:lang w:val="en-GB"/>
        </w:rPr>
        <w:t xml:space="preserve">FDD format 0 </w:t>
      </w:r>
      <w:r w:rsidR="00D2781B">
        <w:rPr>
          <w:lang w:val="en-GB"/>
        </w:rPr>
        <w:t xml:space="preserve">uses </w:t>
      </w:r>
      <w:r w:rsidR="00191030">
        <w:rPr>
          <w:lang w:val="en-GB"/>
        </w:rPr>
        <w:t xml:space="preserve">5 times more repetitions </w:t>
      </w:r>
      <w:r w:rsidR="00D2781B">
        <w:rPr>
          <w:lang w:val="en-GB"/>
        </w:rPr>
        <w:t xml:space="preserve">compared with TDD, the effective performance gain </w:t>
      </w:r>
      <w:r w:rsidR="00BB4A9F">
        <w:rPr>
          <w:lang w:val="en-GB"/>
        </w:rPr>
        <w:t xml:space="preserve">(or coverage expansion) </w:t>
      </w:r>
      <w:r w:rsidR="00D2781B">
        <w:rPr>
          <w:lang w:val="en-GB"/>
        </w:rPr>
        <w:t xml:space="preserve">of FDD due to the repetition is 10*log10(5) </w:t>
      </w:r>
      <w:r w:rsidR="0029196D">
        <w:rPr>
          <w:lang w:val="en-GB"/>
        </w:rPr>
        <w:t>~ 7dB. If we look the existing NPRACH FDD format 0</w:t>
      </w:r>
      <w:r w:rsidR="0082573A">
        <w:rPr>
          <w:lang w:val="en-GB"/>
        </w:rPr>
        <w:t xml:space="preserve"> (See </w:t>
      </w:r>
      <w:r w:rsidR="0082573A">
        <w:rPr>
          <w:lang w:val="en-GB"/>
        </w:rPr>
        <w:fldChar w:fldCharType="begin"/>
      </w:r>
      <w:r w:rsidR="0082573A">
        <w:rPr>
          <w:lang w:val="en-GB"/>
        </w:rPr>
        <w:instrText xml:space="preserve"> REF _Ref16854928 \h </w:instrText>
      </w:r>
      <w:r w:rsidR="0082573A">
        <w:rPr>
          <w:lang w:val="en-GB"/>
        </w:rPr>
      </w:r>
      <w:r w:rsidR="0082573A">
        <w:rPr>
          <w:lang w:val="en-GB"/>
        </w:rPr>
        <w:fldChar w:fldCharType="separate"/>
      </w:r>
      <w:r w:rsidR="0082573A">
        <w:t xml:space="preserve">Table </w:t>
      </w:r>
      <w:r w:rsidR="0082573A">
        <w:rPr>
          <w:noProof/>
        </w:rPr>
        <w:t>2</w:t>
      </w:r>
      <w:r w:rsidR="0082573A">
        <w:rPr>
          <w:lang w:val="en-GB"/>
        </w:rPr>
        <w:fldChar w:fldCharType="end"/>
      </w:r>
      <w:r w:rsidR="0082573A">
        <w:rPr>
          <w:lang w:val="en-GB"/>
        </w:rPr>
        <w:t xml:space="preserve"> in Appendix)</w:t>
      </w:r>
      <w:r w:rsidR="0029196D">
        <w:rPr>
          <w:lang w:val="en-GB"/>
        </w:rPr>
        <w:t xml:space="preserve">, the required SNR with MDR=1% is -2.1dB with 8 repetitions for static condition. </w:t>
      </w:r>
      <w:r w:rsidR="001F6397">
        <w:rPr>
          <w:lang w:val="en-GB"/>
        </w:rPr>
        <w:t xml:space="preserve">Since our simulation does not use repetition, </w:t>
      </w:r>
      <w:r w:rsidR="00041292">
        <w:rPr>
          <w:lang w:val="en-GB"/>
        </w:rPr>
        <w:t>the gain of FDD is about 10*log10(20*8/4) ~ 15dB</w:t>
      </w:r>
      <w:r w:rsidR="00C65872">
        <w:rPr>
          <w:lang w:val="en-GB"/>
        </w:rPr>
        <w:t xml:space="preserve">, and therefore it is expected the TDD performance is </w:t>
      </w:r>
      <w:r w:rsidR="00EC3072">
        <w:rPr>
          <w:lang w:val="en-GB"/>
        </w:rPr>
        <w:t xml:space="preserve">around </w:t>
      </w:r>
      <w:r w:rsidR="00470E24">
        <w:rPr>
          <w:lang w:val="en-GB"/>
        </w:rPr>
        <w:t>12.9 dB</w:t>
      </w:r>
      <w:r w:rsidR="00C65872">
        <w:rPr>
          <w:lang w:val="en-GB"/>
        </w:rPr>
        <w:t xml:space="preserve"> </w:t>
      </w:r>
      <w:r w:rsidR="00470E24">
        <w:rPr>
          <w:lang w:val="en-GB"/>
        </w:rPr>
        <w:t xml:space="preserve">(-2.1+15.0). </w:t>
      </w:r>
    </w:p>
    <w:p w14:paraId="75AA6CD1" w14:textId="13783239" w:rsidR="00912911" w:rsidRDefault="005538CD" w:rsidP="000D33C2">
      <w:r>
        <w:object w:dxaOrig="8821" w:dyaOrig="1260" w14:anchorId="4C2F01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63pt" o:ole="">
            <v:imagedata r:id="rId10" o:title=""/>
          </v:shape>
          <o:OLEObject Type="Embed" ProgID="Visio.Drawing.15" ShapeID="_x0000_i1025" DrawAspect="Content" ObjectID="_1627496960" r:id="rId11"/>
        </w:object>
      </w:r>
    </w:p>
    <w:p w14:paraId="052B6471" w14:textId="5CA997ED" w:rsidR="005538CD" w:rsidRDefault="005538CD" w:rsidP="005538CD">
      <w:pPr>
        <w:pStyle w:val="Caption"/>
      </w:pPr>
      <w:bookmarkStart w:id="6" w:name="_Ref14856618"/>
      <w:r>
        <w:t xml:space="preserve">Figure </w:t>
      </w:r>
      <w:r w:rsidR="003D1B8F">
        <w:fldChar w:fldCharType="begin"/>
      </w:r>
      <w:r w:rsidR="003D1B8F">
        <w:instrText xml:space="preserve"> SEQ Figure \* ARABIC </w:instrText>
      </w:r>
      <w:r w:rsidR="003D1B8F">
        <w:fldChar w:fldCharType="separate"/>
      </w:r>
      <w:r>
        <w:rPr>
          <w:noProof/>
        </w:rPr>
        <w:t>2</w:t>
      </w:r>
      <w:r w:rsidR="003D1B8F">
        <w:rPr>
          <w:noProof/>
        </w:rPr>
        <w:fldChar w:fldCharType="end"/>
      </w:r>
      <w:bookmarkEnd w:id="6"/>
      <w:r>
        <w:tab/>
        <w:t>NPRACH preamble structure for FDD format 0.</w:t>
      </w:r>
    </w:p>
    <w:p w14:paraId="2F2589AC" w14:textId="4E1F53A4" w:rsidR="005538CD" w:rsidRDefault="005538CD" w:rsidP="005538CD"/>
    <w:p w14:paraId="22D89159" w14:textId="395517AE" w:rsidR="005538CD" w:rsidRDefault="005538CD" w:rsidP="005538CD">
      <w:r>
        <w:object w:dxaOrig="4095" w:dyaOrig="1620" w14:anchorId="4FD584B7">
          <v:shape id="_x0000_i1026" type="#_x0000_t75" style="width:204.6pt;height:81pt" o:ole="">
            <v:imagedata r:id="rId12" o:title=""/>
          </v:shape>
          <o:OLEObject Type="Embed" ProgID="Visio.Drawing.15" ShapeID="_x0000_i1026" DrawAspect="Content" ObjectID="_1627496961" r:id="rId13"/>
        </w:object>
      </w:r>
    </w:p>
    <w:p w14:paraId="3DB6CDD5" w14:textId="2C5FD498" w:rsidR="000D33C2" w:rsidRPr="005538CD" w:rsidRDefault="005538CD" w:rsidP="005538CD">
      <w:pPr>
        <w:pStyle w:val="Caption"/>
      </w:pPr>
      <w:bookmarkStart w:id="7" w:name="_Ref14856620"/>
      <w:r>
        <w:t xml:space="preserve">Figure </w:t>
      </w:r>
      <w:r w:rsidR="003D1B8F">
        <w:fldChar w:fldCharType="begin"/>
      </w:r>
      <w:r w:rsidR="003D1B8F">
        <w:instrText xml:space="preserve"> SEQ Figure \* ARABIC </w:instrText>
      </w:r>
      <w:r w:rsidR="003D1B8F">
        <w:fldChar w:fldCharType="separate"/>
      </w:r>
      <w:r>
        <w:rPr>
          <w:noProof/>
        </w:rPr>
        <w:t>3</w:t>
      </w:r>
      <w:r w:rsidR="003D1B8F">
        <w:rPr>
          <w:noProof/>
        </w:rPr>
        <w:fldChar w:fldCharType="end"/>
      </w:r>
      <w:bookmarkEnd w:id="7"/>
      <w:r>
        <w:tab/>
        <w:t xml:space="preserve">NPRACH preamble structure for TDD format 0. </w:t>
      </w:r>
    </w:p>
    <w:p w14:paraId="25E95D6B" w14:textId="685A38C8" w:rsidR="002E29D9" w:rsidRDefault="00530F0B" w:rsidP="00530F0B">
      <w:pPr>
        <w:pStyle w:val="Heading1"/>
      </w:pPr>
      <w:r>
        <w:t>3</w:t>
      </w:r>
      <w:r>
        <w:tab/>
        <w:t>Conclusion</w:t>
      </w:r>
    </w:p>
    <w:p w14:paraId="6D65B925" w14:textId="20EFAE43" w:rsidR="00E8444E" w:rsidRDefault="00E8444E" w:rsidP="00530F0B">
      <w:pPr>
        <w:rPr>
          <w:b/>
        </w:rPr>
      </w:pPr>
      <w:r w:rsidRPr="00E8444E">
        <w:rPr>
          <w:b/>
          <w:lang w:val="en-GB"/>
        </w:rPr>
        <w:t xml:space="preserve">Observation: For NPRACH TDD Format 0, the </w:t>
      </w:r>
      <w:r w:rsidRPr="00E8444E">
        <w:rPr>
          <w:b/>
        </w:rPr>
        <w:t>required SNR to achieve MDR of 1% about 11.0dB without repetition under static environment.</w:t>
      </w:r>
    </w:p>
    <w:p w14:paraId="100D2E8A" w14:textId="74A6FAB7" w:rsidR="00E8444E" w:rsidRPr="00E8444E" w:rsidRDefault="00E8444E" w:rsidP="00530F0B">
      <w:r w:rsidRPr="00E8444E">
        <w:t xml:space="preserve">This </w:t>
      </w:r>
      <w:r>
        <w:t>contribution provided our simulation results for NPRACH TDD format 0 and gave the analysis. We propose RAN4 considers our results and analysi</w:t>
      </w:r>
      <w:r w:rsidR="001D433F">
        <w:t xml:space="preserve">s. </w:t>
      </w:r>
    </w:p>
    <w:p w14:paraId="15AE7CF6" w14:textId="3A389E66" w:rsidR="00887C74" w:rsidRPr="00BB4A9F" w:rsidRDefault="00530F0B" w:rsidP="00BB4A9F">
      <w:pPr>
        <w:pStyle w:val="Heading1"/>
        <w:rPr>
          <w:lang w:val="en-US"/>
        </w:rPr>
      </w:pPr>
      <w:r>
        <w:rPr>
          <w:lang w:val="en-US"/>
        </w:rPr>
        <w:t>4</w:t>
      </w:r>
      <w:r w:rsidR="000C49C8">
        <w:rPr>
          <w:lang w:val="en-US"/>
        </w:rPr>
        <w:tab/>
      </w:r>
      <w:r w:rsidR="005A782E" w:rsidRPr="00FD363A">
        <w:rPr>
          <w:lang w:val="en-US"/>
        </w:rPr>
        <w:t>References</w:t>
      </w:r>
    </w:p>
    <w:p w14:paraId="000083EC" w14:textId="6235E5B9" w:rsidR="00DD4CA5" w:rsidRDefault="005A782E" w:rsidP="00635C8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508638450"/>
      <w:bookmarkStart w:id="9" w:name="_Ref3386619"/>
      <w:r w:rsidRPr="00FD363A">
        <w:t>R</w:t>
      </w:r>
      <w:r w:rsidR="00024991">
        <w:t>4</w:t>
      </w:r>
      <w:r w:rsidRPr="00FD363A">
        <w:t>-</w:t>
      </w:r>
      <w:bookmarkEnd w:id="8"/>
      <w:r w:rsidR="00635C81">
        <w:t>19</w:t>
      </w:r>
      <w:r w:rsidR="00024991">
        <w:t>07388</w:t>
      </w:r>
      <w:r w:rsidR="009B01F8">
        <w:t>, “</w:t>
      </w:r>
      <w:r w:rsidR="00024991" w:rsidRPr="00024991">
        <w:t>Way forward on Rel-15 NB-IOT NPRACH demodulation requirements</w:t>
      </w:r>
      <w:r w:rsidR="009B01F8">
        <w:t xml:space="preserve">”, </w:t>
      </w:r>
      <w:r w:rsidR="00024991">
        <w:t xml:space="preserve">Ericsson, </w:t>
      </w:r>
      <w:r w:rsidR="00C17B87" w:rsidRPr="00C17B87">
        <w:t xml:space="preserve">Huawei, </w:t>
      </w:r>
      <w:r w:rsidR="00024991">
        <w:t>Nokia</w:t>
      </w:r>
      <w:r w:rsidR="009B01F8">
        <w:t>.</w:t>
      </w:r>
      <w:bookmarkEnd w:id="9"/>
    </w:p>
    <w:p w14:paraId="5BE26060" w14:textId="7CC919B1" w:rsidR="000C49C8" w:rsidRDefault="00BB4A9F" w:rsidP="00BB4A9F">
      <w:pPr>
        <w:pStyle w:val="Heading1"/>
      </w:pPr>
      <w:r>
        <w:t>Appendix</w:t>
      </w:r>
    </w:p>
    <w:p w14:paraId="176732AE" w14:textId="77777777" w:rsidR="00BB4A9F" w:rsidRPr="008A6CAF" w:rsidRDefault="00BB4A9F" w:rsidP="00BB4A9F">
      <w:pPr>
        <w:pStyle w:val="Caption"/>
        <w:rPr>
          <w:lang w:val="en-GB"/>
        </w:rPr>
      </w:pPr>
      <w:bookmarkStart w:id="10" w:name="_Ref16854928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0"/>
      <w:r>
        <w:tab/>
        <w:t>NPRACH missed detection requirements for FDD (TS38.104, Table 8.5.3.2.1-1)</w:t>
      </w:r>
    </w:p>
    <w:tbl>
      <w:tblPr>
        <w:tblW w:w="9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"/>
        <w:gridCol w:w="1190"/>
        <w:gridCol w:w="1170"/>
        <w:gridCol w:w="1710"/>
        <w:gridCol w:w="1203"/>
        <w:gridCol w:w="1133"/>
        <w:gridCol w:w="1133"/>
        <w:gridCol w:w="1134"/>
      </w:tblGrid>
      <w:tr w:rsidR="00BB4A9F" w:rsidRPr="00C54509" w14:paraId="6C45B645" w14:textId="77777777" w:rsidTr="00462754">
        <w:trPr>
          <w:trHeight w:val="213"/>
        </w:trPr>
        <w:tc>
          <w:tcPr>
            <w:tcW w:w="875" w:type="dxa"/>
            <w:vMerge w:val="restart"/>
          </w:tcPr>
          <w:p w14:paraId="6D0FFB19" w14:textId="77777777" w:rsidR="00BB4A9F" w:rsidRPr="00C54509" w:rsidRDefault="00BB4A9F" w:rsidP="00462754">
            <w:pPr>
              <w:pStyle w:val="TAH"/>
              <w:rPr>
                <w:rFonts w:cs="Arial"/>
                <w:bCs/>
                <w:szCs w:val="18"/>
              </w:rPr>
            </w:pPr>
            <w:r w:rsidRPr="00C54509">
              <w:rPr>
                <w:rFonts w:cs="Arial" w:hint="eastAsia"/>
                <w:bCs/>
                <w:szCs w:val="18"/>
              </w:rPr>
              <w:t>Number of TX antennas</w:t>
            </w:r>
          </w:p>
        </w:tc>
        <w:tc>
          <w:tcPr>
            <w:tcW w:w="1190" w:type="dxa"/>
            <w:vMerge w:val="restart"/>
          </w:tcPr>
          <w:p w14:paraId="1920EFA3" w14:textId="77777777" w:rsidR="00BB4A9F" w:rsidRPr="00C54509" w:rsidRDefault="00BB4A9F" w:rsidP="00462754">
            <w:pPr>
              <w:pStyle w:val="TAH"/>
              <w:rPr>
                <w:rFonts w:cs="Arial"/>
                <w:bCs/>
                <w:szCs w:val="18"/>
              </w:rPr>
            </w:pPr>
            <w:r w:rsidRPr="00C54509">
              <w:rPr>
                <w:rFonts w:cs="Arial" w:hint="eastAsia"/>
                <w:bCs/>
                <w:szCs w:val="18"/>
              </w:rPr>
              <w:t>Number of RX antennas</w:t>
            </w:r>
          </w:p>
        </w:tc>
        <w:tc>
          <w:tcPr>
            <w:tcW w:w="1170" w:type="dxa"/>
            <w:vMerge w:val="restart"/>
          </w:tcPr>
          <w:p w14:paraId="1F95F5F1" w14:textId="77777777" w:rsidR="00BB4A9F" w:rsidRPr="00C54509" w:rsidRDefault="00BB4A9F" w:rsidP="00462754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C54509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1710" w:type="dxa"/>
            <w:vMerge w:val="restart"/>
          </w:tcPr>
          <w:p w14:paraId="5708DB17" w14:textId="77777777" w:rsidR="00BB4A9F" w:rsidRPr="00C54509" w:rsidRDefault="00BB4A9F" w:rsidP="00462754">
            <w:pPr>
              <w:pStyle w:val="TAH"/>
              <w:rPr>
                <w:rFonts w:cs="Arial"/>
                <w:bCs/>
                <w:szCs w:val="18"/>
              </w:rPr>
            </w:pPr>
            <w:r w:rsidRPr="00C54509">
              <w:rPr>
                <w:rFonts w:cs="Arial"/>
                <w:bCs/>
                <w:szCs w:val="18"/>
              </w:rPr>
              <w:t>Propagation conditions and correlation matrix (Annex B)</w:t>
            </w:r>
          </w:p>
        </w:tc>
        <w:tc>
          <w:tcPr>
            <w:tcW w:w="1203" w:type="dxa"/>
            <w:vMerge w:val="restart"/>
          </w:tcPr>
          <w:p w14:paraId="09C9F892" w14:textId="77777777" w:rsidR="00BB4A9F" w:rsidRPr="00C54509" w:rsidRDefault="00BB4A9F" w:rsidP="00462754">
            <w:pPr>
              <w:pStyle w:val="TAH"/>
              <w:rPr>
                <w:rFonts w:cs="Arial"/>
                <w:bCs/>
                <w:szCs w:val="18"/>
              </w:rPr>
            </w:pPr>
            <w:r w:rsidRPr="00C54509">
              <w:rPr>
                <w:rFonts w:cs="Arial"/>
                <w:bCs/>
                <w:szCs w:val="18"/>
              </w:rPr>
              <w:t>Frequency offset</w:t>
            </w:r>
          </w:p>
        </w:tc>
        <w:tc>
          <w:tcPr>
            <w:tcW w:w="3400" w:type="dxa"/>
            <w:gridSpan w:val="3"/>
          </w:tcPr>
          <w:p w14:paraId="2451AC24" w14:textId="77777777" w:rsidR="00BB4A9F" w:rsidRPr="00C54509" w:rsidRDefault="00BB4A9F" w:rsidP="00462754">
            <w:pPr>
              <w:pStyle w:val="TAH"/>
              <w:rPr>
                <w:rFonts w:cs="Arial"/>
                <w:bCs/>
                <w:szCs w:val="18"/>
              </w:rPr>
            </w:pPr>
            <w:r w:rsidRPr="00C54509">
              <w:rPr>
                <w:rFonts w:cs="Arial" w:hint="eastAsia"/>
                <w:bCs/>
                <w:szCs w:val="18"/>
              </w:rPr>
              <w:t>SNR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C54509">
              <w:rPr>
                <w:rFonts w:cs="Arial" w:hint="eastAsia"/>
                <w:bCs/>
                <w:szCs w:val="18"/>
              </w:rPr>
              <w:t>[dB]</w:t>
            </w:r>
          </w:p>
        </w:tc>
      </w:tr>
      <w:tr w:rsidR="00BB4A9F" w:rsidRPr="00C54509" w14:paraId="3D8CE5B5" w14:textId="77777777" w:rsidTr="00462754">
        <w:trPr>
          <w:trHeight w:val="625"/>
        </w:trPr>
        <w:tc>
          <w:tcPr>
            <w:tcW w:w="875" w:type="dxa"/>
            <w:vMerge/>
          </w:tcPr>
          <w:p w14:paraId="496E6310" w14:textId="77777777" w:rsidR="00BB4A9F" w:rsidRPr="00C54509" w:rsidRDefault="00BB4A9F" w:rsidP="00462754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190" w:type="dxa"/>
            <w:vMerge/>
          </w:tcPr>
          <w:p w14:paraId="2ADB292B" w14:textId="77777777" w:rsidR="00BB4A9F" w:rsidRPr="00C54509" w:rsidRDefault="00BB4A9F" w:rsidP="00462754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170" w:type="dxa"/>
            <w:vMerge/>
          </w:tcPr>
          <w:p w14:paraId="34C70D9F" w14:textId="77777777" w:rsidR="00BB4A9F" w:rsidRPr="00C54509" w:rsidRDefault="00BB4A9F" w:rsidP="00462754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710" w:type="dxa"/>
            <w:vMerge/>
          </w:tcPr>
          <w:p w14:paraId="53624CAD" w14:textId="77777777" w:rsidR="00BB4A9F" w:rsidRPr="00C54509" w:rsidRDefault="00BB4A9F" w:rsidP="00462754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203" w:type="dxa"/>
            <w:vMerge/>
          </w:tcPr>
          <w:p w14:paraId="7D24605C" w14:textId="77777777" w:rsidR="00BB4A9F" w:rsidRPr="00C54509" w:rsidRDefault="00BB4A9F" w:rsidP="00462754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133" w:type="dxa"/>
          </w:tcPr>
          <w:p w14:paraId="7791AF9E" w14:textId="77777777" w:rsidR="00BB4A9F" w:rsidRPr="00C54509" w:rsidRDefault="00BB4A9F" w:rsidP="00462754">
            <w:pPr>
              <w:pStyle w:val="TAH"/>
              <w:rPr>
                <w:rFonts w:cs="Arial"/>
                <w:bCs/>
                <w:szCs w:val="18"/>
              </w:rPr>
            </w:pPr>
            <w:r w:rsidRPr="00C54509">
              <w:rPr>
                <w:rFonts w:cs="Arial" w:hint="eastAsia"/>
                <w:bCs/>
                <w:szCs w:val="18"/>
              </w:rPr>
              <w:t>Preamble format 0</w:t>
            </w:r>
          </w:p>
        </w:tc>
        <w:tc>
          <w:tcPr>
            <w:tcW w:w="1133" w:type="dxa"/>
          </w:tcPr>
          <w:p w14:paraId="2B0B2687" w14:textId="77777777" w:rsidR="00BB4A9F" w:rsidRPr="00C54509" w:rsidRDefault="00BB4A9F" w:rsidP="00462754">
            <w:pPr>
              <w:pStyle w:val="TAH"/>
              <w:rPr>
                <w:rFonts w:cs="Arial"/>
                <w:bCs/>
                <w:szCs w:val="18"/>
              </w:rPr>
            </w:pPr>
            <w:r w:rsidRPr="00C54509">
              <w:rPr>
                <w:rFonts w:cs="Arial" w:hint="eastAsia"/>
                <w:bCs/>
                <w:szCs w:val="18"/>
              </w:rPr>
              <w:t xml:space="preserve">Preamble format </w:t>
            </w:r>
            <w:r w:rsidRPr="00C54509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1134" w:type="dxa"/>
          </w:tcPr>
          <w:p w14:paraId="65D1D2B2" w14:textId="77777777" w:rsidR="00BB4A9F" w:rsidRPr="00C54509" w:rsidRDefault="00BB4A9F" w:rsidP="00462754">
            <w:pPr>
              <w:pStyle w:val="TAH"/>
              <w:rPr>
                <w:rFonts w:cs="Arial"/>
                <w:bCs/>
                <w:szCs w:val="18"/>
              </w:rPr>
            </w:pPr>
            <w:r w:rsidRPr="00C54509">
              <w:rPr>
                <w:rFonts w:cs="Arial" w:hint="eastAsia"/>
                <w:bCs/>
                <w:szCs w:val="18"/>
              </w:rPr>
              <w:t xml:space="preserve">Preamble format </w:t>
            </w:r>
            <w:r w:rsidRPr="00C54509">
              <w:rPr>
                <w:rFonts w:cs="Arial"/>
                <w:bCs/>
                <w:szCs w:val="18"/>
              </w:rPr>
              <w:t>2</w:t>
            </w:r>
          </w:p>
        </w:tc>
      </w:tr>
      <w:tr w:rsidR="00BB4A9F" w:rsidRPr="00C54509" w14:paraId="0AF2C635" w14:textId="77777777" w:rsidTr="00462754">
        <w:trPr>
          <w:trHeight w:val="213"/>
        </w:trPr>
        <w:tc>
          <w:tcPr>
            <w:tcW w:w="875" w:type="dxa"/>
            <w:vMerge w:val="restart"/>
          </w:tcPr>
          <w:p w14:paraId="615531EF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  <w:r w:rsidRPr="00C54509">
              <w:rPr>
                <w:rFonts w:cs="Arial" w:hint="eastAsia"/>
                <w:szCs w:val="18"/>
              </w:rPr>
              <w:t>1</w:t>
            </w:r>
          </w:p>
        </w:tc>
        <w:tc>
          <w:tcPr>
            <w:tcW w:w="1190" w:type="dxa"/>
            <w:vMerge w:val="restart"/>
          </w:tcPr>
          <w:p w14:paraId="1C698E38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54509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1170" w:type="dxa"/>
            <w:vMerge w:val="restart"/>
          </w:tcPr>
          <w:p w14:paraId="1881BF81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54509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710" w:type="dxa"/>
          </w:tcPr>
          <w:p w14:paraId="449C8471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  <w:r w:rsidRPr="00C54509">
              <w:rPr>
                <w:rFonts w:cs="Arial"/>
                <w:szCs w:val="18"/>
              </w:rPr>
              <w:t>AWGN</w:t>
            </w:r>
          </w:p>
        </w:tc>
        <w:tc>
          <w:tcPr>
            <w:tcW w:w="1203" w:type="dxa"/>
          </w:tcPr>
          <w:p w14:paraId="4391AEF4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  <w:r w:rsidRPr="00C54509">
              <w:rPr>
                <w:rFonts w:cs="Arial"/>
                <w:szCs w:val="18"/>
              </w:rPr>
              <w:t>0</w:t>
            </w:r>
          </w:p>
        </w:tc>
        <w:tc>
          <w:tcPr>
            <w:tcW w:w="1133" w:type="dxa"/>
          </w:tcPr>
          <w:p w14:paraId="46F1A08E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54509">
              <w:rPr>
                <w:rFonts w:cs="Arial" w:hint="eastAsia"/>
                <w:szCs w:val="18"/>
                <w:lang w:eastAsia="zh-CN"/>
              </w:rPr>
              <w:t>-2.1</w:t>
            </w:r>
          </w:p>
        </w:tc>
        <w:tc>
          <w:tcPr>
            <w:tcW w:w="1133" w:type="dxa"/>
          </w:tcPr>
          <w:p w14:paraId="3EA9403A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  <w:r w:rsidRPr="00C54509">
              <w:rPr>
                <w:rFonts w:cs="Arial" w:hint="eastAsia"/>
                <w:szCs w:val="18"/>
                <w:lang w:eastAsia="zh-CN"/>
              </w:rPr>
              <w:t>-2.1</w:t>
            </w:r>
          </w:p>
        </w:tc>
        <w:tc>
          <w:tcPr>
            <w:tcW w:w="1134" w:type="dxa"/>
            <w:vAlign w:val="center"/>
          </w:tcPr>
          <w:p w14:paraId="7E11C656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54509">
              <w:rPr>
                <w:rFonts w:cs="Arial"/>
                <w:szCs w:val="18"/>
                <w:lang w:eastAsia="zh-CN"/>
              </w:rPr>
              <w:t>-1.0</w:t>
            </w:r>
          </w:p>
        </w:tc>
      </w:tr>
      <w:tr w:rsidR="00BB4A9F" w:rsidRPr="00C54509" w14:paraId="434FB007" w14:textId="77777777" w:rsidTr="00462754">
        <w:trPr>
          <w:trHeight w:val="213"/>
        </w:trPr>
        <w:tc>
          <w:tcPr>
            <w:tcW w:w="875" w:type="dxa"/>
            <w:vMerge/>
          </w:tcPr>
          <w:p w14:paraId="1EAAA790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90" w:type="dxa"/>
            <w:vMerge/>
          </w:tcPr>
          <w:p w14:paraId="13EAFDA8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70" w:type="dxa"/>
            <w:vMerge/>
          </w:tcPr>
          <w:p w14:paraId="3911CE4E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710" w:type="dxa"/>
          </w:tcPr>
          <w:p w14:paraId="7B24499E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  <w:r w:rsidRPr="00C54509">
              <w:rPr>
                <w:rFonts w:cs="Arial" w:hint="eastAsia"/>
                <w:szCs w:val="18"/>
              </w:rPr>
              <w:t>EPA</w:t>
            </w:r>
            <w:r w:rsidRPr="00C54509">
              <w:rPr>
                <w:rFonts w:cs="Arial"/>
                <w:szCs w:val="18"/>
              </w:rPr>
              <w:t>1</w:t>
            </w:r>
            <w:r w:rsidRPr="00C54509">
              <w:rPr>
                <w:rFonts w:cs="Arial" w:hint="eastAsia"/>
                <w:szCs w:val="18"/>
              </w:rPr>
              <w:t xml:space="preserve"> Low</w:t>
            </w:r>
          </w:p>
        </w:tc>
        <w:tc>
          <w:tcPr>
            <w:tcW w:w="1203" w:type="dxa"/>
          </w:tcPr>
          <w:p w14:paraId="3A2936F3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  <w:r w:rsidRPr="00C54509">
              <w:rPr>
                <w:rFonts w:cs="Arial"/>
                <w:szCs w:val="18"/>
              </w:rPr>
              <w:t>200 Hz</w:t>
            </w:r>
          </w:p>
        </w:tc>
        <w:tc>
          <w:tcPr>
            <w:tcW w:w="1133" w:type="dxa"/>
          </w:tcPr>
          <w:p w14:paraId="5A2DC831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54509">
              <w:rPr>
                <w:rFonts w:cs="Arial" w:hint="eastAsia"/>
                <w:szCs w:val="18"/>
                <w:lang w:eastAsia="zh-CN"/>
              </w:rPr>
              <w:t>6.1</w:t>
            </w:r>
          </w:p>
        </w:tc>
        <w:tc>
          <w:tcPr>
            <w:tcW w:w="1133" w:type="dxa"/>
          </w:tcPr>
          <w:p w14:paraId="2965D752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  <w:r w:rsidRPr="00C54509">
              <w:rPr>
                <w:rFonts w:cs="Arial" w:hint="eastAsia"/>
                <w:szCs w:val="18"/>
                <w:lang w:eastAsia="zh-CN"/>
              </w:rPr>
              <w:t>6.1</w:t>
            </w:r>
          </w:p>
        </w:tc>
        <w:tc>
          <w:tcPr>
            <w:tcW w:w="1134" w:type="dxa"/>
            <w:vAlign w:val="center"/>
          </w:tcPr>
          <w:p w14:paraId="43021E42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54509">
              <w:rPr>
                <w:rFonts w:cs="Arial"/>
                <w:szCs w:val="18"/>
                <w:lang w:eastAsia="zh-CN"/>
              </w:rPr>
              <w:t>9.0</w:t>
            </w:r>
          </w:p>
        </w:tc>
      </w:tr>
      <w:tr w:rsidR="00BB4A9F" w:rsidRPr="00C54509" w14:paraId="504F983F" w14:textId="77777777" w:rsidTr="00462754">
        <w:trPr>
          <w:trHeight w:val="227"/>
        </w:trPr>
        <w:tc>
          <w:tcPr>
            <w:tcW w:w="875" w:type="dxa"/>
            <w:vMerge/>
          </w:tcPr>
          <w:p w14:paraId="6320E584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90" w:type="dxa"/>
            <w:vMerge/>
          </w:tcPr>
          <w:p w14:paraId="0011E527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70" w:type="dxa"/>
            <w:vMerge w:val="restart"/>
          </w:tcPr>
          <w:p w14:paraId="4990C7BC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54509">
              <w:rPr>
                <w:rFonts w:cs="Arial" w:hint="eastAsia"/>
                <w:szCs w:val="18"/>
                <w:lang w:eastAsia="zh-CN"/>
              </w:rPr>
              <w:t>32</w:t>
            </w:r>
          </w:p>
        </w:tc>
        <w:tc>
          <w:tcPr>
            <w:tcW w:w="1710" w:type="dxa"/>
          </w:tcPr>
          <w:p w14:paraId="524B4479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  <w:r w:rsidRPr="00C54509">
              <w:rPr>
                <w:rFonts w:cs="Arial"/>
                <w:szCs w:val="18"/>
              </w:rPr>
              <w:t>AWGN</w:t>
            </w:r>
          </w:p>
        </w:tc>
        <w:tc>
          <w:tcPr>
            <w:tcW w:w="1203" w:type="dxa"/>
          </w:tcPr>
          <w:p w14:paraId="2C8EC0E2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  <w:r w:rsidRPr="00C54509">
              <w:rPr>
                <w:rFonts w:cs="Arial"/>
                <w:szCs w:val="18"/>
              </w:rPr>
              <w:t>0</w:t>
            </w:r>
          </w:p>
        </w:tc>
        <w:tc>
          <w:tcPr>
            <w:tcW w:w="1133" w:type="dxa"/>
          </w:tcPr>
          <w:p w14:paraId="7B8A594B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54509">
              <w:rPr>
                <w:rFonts w:cs="Arial" w:hint="eastAsia"/>
                <w:szCs w:val="18"/>
                <w:lang w:eastAsia="zh-CN"/>
              </w:rPr>
              <w:t>-6.8</w:t>
            </w:r>
          </w:p>
        </w:tc>
        <w:tc>
          <w:tcPr>
            <w:tcW w:w="1133" w:type="dxa"/>
          </w:tcPr>
          <w:p w14:paraId="05907F1F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  <w:r w:rsidRPr="00C54509">
              <w:rPr>
                <w:rFonts w:cs="Arial" w:hint="eastAsia"/>
                <w:szCs w:val="18"/>
                <w:lang w:eastAsia="zh-CN"/>
              </w:rPr>
              <w:t>-6.8</w:t>
            </w:r>
          </w:p>
        </w:tc>
        <w:tc>
          <w:tcPr>
            <w:tcW w:w="1134" w:type="dxa"/>
            <w:vAlign w:val="center"/>
          </w:tcPr>
          <w:p w14:paraId="136978E5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54509">
              <w:rPr>
                <w:rFonts w:cs="Arial"/>
                <w:szCs w:val="18"/>
                <w:lang w:eastAsia="zh-CN"/>
              </w:rPr>
              <w:t>-5.1</w:t>
            </w:r>
          </w:p>
        </w:tc>
      </w:tr>
      <w:tr w:rsidR="00BB4A9F" w:rsidRPr="00C54509" w14:paraId="03FE3646" w14:textId="77777777" w:rsidTr="00462754">
        <w:trPr>
          <w:trHeight w:val="213"/>
        </w:trPr>
        <w:tc>
          <w:tcPr>
            <w:tcW w:w="875" w:type="dxa"/>
            <w:vMerge/>
          </w:tcPr>
          <w:p w14:paraId="1890856D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90" w:type="dxa"/>
            <w:vMerge/>
          </w:tcPr>
          <w:p w14:paraId="7B5B6695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70" w:type="dxa"/>
            <w:vMerge/>
          </w:tcPr>
          <w:p w14:paraId="7C7B66F9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710" w:type="dxa"/>
          </w:tcPr>
          <w:p w14:paraId="252A609C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  <w:r w:rsidRPr="00C54509">
              <w:rPr>
                <w:rFonts w:cs="Arial" w:hint="eastAsia"/>
                <w:szCs w:val="18"/>
              </w:rPr>
              <w:t>EPA</w:t>
            </w:r>
            <w:r w:rsidRPr="00C54509">
              <w:rPr>
                <w:rFonts w:cs="Arial"/>
                <w:szCs w:val="18"/>
              </w:rPr>
              <w:t>1</w:t>
            </w:r>
            <w:r w:rsidRPr="00C54509">
              <w:rPr>
                <w:rFonts w:cs="Arial" w:hint="eastAsia"/>
                <w:szCs w:val="18"/>
              </w:rPr>
              <w:t xml:space="preserve"> Low</w:t>
            </w:r>
          </w:p>
        </w:tc>
        <w:tc>
          <w:tcPr>
            <w:tcW w:w="1203" w:type="dxa"/>
          </w:tcPr>
          <w:p w14:paraId="65C907C7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  <w:r w:rsidRPr="00C54509">
              <w:rPr>
                <w:rFonts w:cs="Arial"/>
                <w:szCs w:val="18"/>
              </w:rPr>
              <w:t>200 Hz</w:t>
            </w:r>
          </w:p>
        </w:tc>
        <w:tc>
          <w:tcPr>
            <w:tcW w:w="1133" w:type="dxa"/>
          </w:tcPr>
          <w:p w14:paraId="6C3C4597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54509">
              <w:rPr>
                <w:rFonts w:cs="Arial" w:hint="eastAsia"/>
                <w:szCs w:val="18"/>
                <w:lang w:eastAsia="zh-CN"/>
              </w:rPr>
              <w:t>0.5</w:t>
            </w:r>
          </w:p>
        </w:tc>
        <w:tc>
          <w:tcPr>
            <w:tcW w:w="1133" w:type="dxa"/>
          </w:tcPr>
          <w:p w14:paraId="5F46AC10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</w:rPr>
            </w:pPr>
            <w:r w:rsidRPr="00C54509">
              <w:rPr>
                <w:rFonts w:cs="Arial" w:hint="eastAsia"/>
                <w:szCs w:val="18"/>
                <w:lang w:eastAsia="zh-CN"/>
              </w:rPr>
              <w:t>0.5</w:t>
            </w:r>
          </w:p>
        </w:tc>
        <w:tc>
          <w:tcPr>
            <w:tcW w:w="1134" w:type="dxa"/>
            <w:vAlign w:val="center"/>
          </w:tcPr>
          <w:p w14:paraId="3543C58B" w14:textId="77777777" w:rsidR="00BB4A9F" w:rsidRPr="00C54509" w:rsidRDefault="00BB4A9F" w:rsidP="004627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54509">
              <w:rPr>
                <w:rFonts w:cs="Arial"/>
                <w:szCs w:val="18"/>
                <w:lang w:eastAsia="zh-CN"/>
              </w:rPr>
              <w:t>2.2</w:t>
            </w:r>
          </w:p>
        </w:tc>
      </w:tr>
    </w:tbl>
    <w:p w14:paraId="49EB85C6" w14:textId="77777777" w:rsidR="00BB4A9F" w:rsidRDefault="00BB4A9F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B4A9F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C71AC3" w:rsidRDefault="00C71AC3">
      <w:pPr>
        <w:spacing w:after="0"/>
      </w:pPr>
      <w:r>
        <w:separator/>
      </w:r>
    </w:p>
  </w:endnote>
  <w:endnote w:type="continuationSeparator" w:id="0">
    <w:p w14:paraId="383D8F64" w14:textId="77777777" w:rsidR="00C71AC3" w:rsidRDefault="00C71A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C71AC3" w:rsidRDefault="00C71AC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C71AC3" w:rsidRDefault="00C71A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C71AC3" w:rsidRDefault="00C71AC3">
      <w:pPr>
        <w:spacing w:after="0"/>
      </w:pPr>
      <w:r>
        <w:separator/>
      </w:r>
    </w:p>
  </w:footnote>
  <w:footnote w:type="continuationSeparator" w:id="0">
    <w:p w14:paraId="5C20C51E" w14:textId="77777777" w:rsidR="00C71AC3" w:rsidRDefault="00C71A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C71AC3" w:rsidRDefault="00C71AC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81D30"/>
    <w:multiLevelType w:val="hybridMultilevel"/>
    <w:tmpl w:val="D9DA2B7C"/>
    <w:lvl w:ilvl="0" w:tplc="A40CD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2837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C94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6E9D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EE2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0E62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6E17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41D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8CE5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4"/>
  </w:num>
  <w:num w:numId="3">
    <w:abstractNumId w:val="21"/>
  </w:num>
  <w:num w:numId="4">
    <w:abstractNumId w:val="20"/>
  </w:num>
  <w:num w:numId="5">
    <w:abstractNumId w:val="12"/>
  </w:num>
  <w:num w:numId="6">
    <w:abstractNumId w:val="37"/>
  </w:num>
  <w:num w:numId="7">
    <w:abstractNumId w:val="2"/>
  </w:num>
  <w:num w:numId="8">
    <w:abstractNumId w:val="3"/>
  </w:num>
  <w:num w:numId="9">
    <w:abstractNumId w:val="29"/>
  </w:num>
  <w:num w:numId="10">
    <w:abstractNumId w:val="25"/>
  </w:num>
  <w:num w:numId="11">
    <w:abstractNumId w:val="39"/>
  </w:num>
  <w:num w:numId="12">
    <w:abstractNumId w:val="26"/>
  </w:num>
  <w:num w:numId="13">
    <w:abstractNumId w:val="33"/>
  </w:num>
  <w:num w:numId="14">
    <w:abstractNumId w:val="4"/>
  </w:num>
  <w:num w:numId="15">
    <w:abstractNumId w:val="18"/>
  </w:num>
  <w:num w:numId="16">
    <w:abstractNumId w:val="19"/>
  </w:num>
  <w:num w:numId="17">
    <w:abstractNumId w:val="10"/>
  </w:num>
  <w:num w:numId="18">
    <w:abstractNumId w:val="1"/>
  </w:num>
  <w:num w:numId="19">
    <w:abstractNumId w:val="30"/>
  </w:num>
  <w:num w:numId="20">
    <w:abstractNumId w:val="36"/>
  </w:num>
  <w:num w:numId="21">
    <w:abstractNumId w:val="0"/>
  </w:num>
  <w:num w:numId="22">
    <w:abstractNumId w:val="22"/>
  </w:num>
  <w:num w:numId="23">
    <w:abstractNumId w:val="6"/>
  </w:num>
  <w:num w:numId="24">
    <w:abstractNumId w:val="14"/>
  </w:num>
  <w:num w:numId="25">
    <w:abstractNumId w:val="38"/>
  </w:num>
  <w:num w:numId="26">
    <w:abstractNumId w:val="35"/>
  </w:num>
  <w:num w:numId="27">
    <w:abstractNumId w:val="28"/>
  </w:num>
  <w:num w:numId="28">
    <w:abstractNumId w:val="11"/>
  </w:num>
  <w:num w:numId="29">
    <w:abstractNumId w:val="27"/>
  </w:num>
  <w:num w:numId="30">
    <w:abstractNumId w:val="8"/>
  </w:num>
  <w:num w:numId="31">
    <w:abstractNumId w:val="9"/>
  </w:num>
  <w:num w:numId="32">
    <w:abstractNumId w:val="16"/>
  </w:num>
  <w:num w:numId="33">
    <w:abstractNumId w:val="17"/>
  </w:num>
  <w:num w:numId="34">
    <w:abstractNumId w:val="42"/>
  </w:num>
  <w:num w:numId="35">
    <w:abstractNumId w:val="32"/>
  </w:num>
  <w:num w:numId="36">
    <w:abstractNumId w:val="40"/>
  </w:num>
  <w:num w:numId="37">
    <w:abstractNumId w:val="7"/>
  </w:num>
  <w:num w:numId="38">
    <w:abstractNumId w:val="43"/>
  </w:num>
  <w:num w:numId="39">
    <w:abstractNumId w:val="5"/>
  </w:num>
  <w:num w:numId="40">
    <w:abstractNumId w:val="31"/>
  </w:num>
  <w:num w:numId="41">
    <w:abstractNumId w:val="45"/>
  </w:num>
  <w:num w:numId="42">
    <w:abstractNumId w:val="13"/>
  </w:num>
  <w:num w:numId="43">
    <w:abstractNumId w:val="15"/>
  </w:num>
  <w:num w:numId="44">
    <w:abstractNumId w:val="24"/>
  </w:num>
  <w:num w:numId="45">
    <w:abstractNumId w:val="23"/>
  </w:num>
  <w:num w:numId="46">
    <w:abstractNumId w:val="4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0A7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E24"/>
    <w:rsid w:val="0047190C"/>
    <w:rsid w:val="00471BB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33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667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30171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BB"/>
    <w:rsid w:val="00F60163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1B8F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D1B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1B8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8BED1EC1-500F-4A8D-BC4C-C233BB46A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2019-08-16T12:43:00Z</dcterms:modified>
</cp:coreProperties>
</file>